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color w:val="0070C0"/>
          <w:sz w:val="24"/>
        </w:rPr>
      </w:pPr>
      <w:r>
        <w:rPr>
          <w:rFonts w:hint="eastAsia" w:ascii="黑体" w:hAnsi="黑体" w:eastAsia="黑体" w:cs="黑体"/>
          <w:b/>
          <w:bCs/>
          <w:color w:val="0070C0"/>
          <w:sz w:val="24"/>
        </w:rPr>
        <w:t>后补贴时代</w:t>
      </w:r>
    </w:p>
    <w:p>
      <w:pPr>
        <w:jc w:val="center"/>
        <w:rPr>
          <w:rFonts w:ascii="微软雅黑" w:hAnsi="微软雅黑" w:eastAsia="微软雅黑" w:cs="微软雅黑"/>
          <w:b/>
          <w:bCs/>
          <w:sz w:val="32"/>
          <w:szCs w:val="28"/>
        </w:rPr>
      </w:pPr>
      <w:r>
        <w:rPr>
          <w:rFonts w:hint="eastAsia" w:ascii="微软雅黑" w:hAnsi="微软雅黑" w:eastAsia="微软雅黑" w:cs="微软雅黑"/>
          <w:b/>
          <w:bCs/>
          <w:sz w:val="32"/>
          <w:szCs w:val="28"/>
        </w:rPr>
        <w:t>锂电材料与新型电源前瞻应用研讨会</w:t>
      </w:r>
    </w:p>
    <w:p>
      <w:pPr>
        <w:jc w:val="center"/>
        <w:rPr>
          <w:rFonts w:ascii="微软雅黑" w:hAnsi="微软雅黑" w:eastAsia="微软雅黑" w:cs="微软雅黑"/>
          <w:color w:val="FF0000"/>
          <w:sz w:val="24"/>
        </w:rPr>
      </w:pPr>
      <w:r>
        <w:rPr>
          <w:rFonts w:hint="eastAsia" w:ascii="微软雅黑" w:hAnsi="微软雅黑" w:eastAsia="微软雅黑" w:cs="微软雅黑"/>
          <w:color w:val="FF0000"/>
          <w:sz w:val="24"/>
        </w:rPr>
        <w:t>暨第七届锂电及关键原材料采配会</w:t>
      </w:r>
    </w:p>
    <w:p>
      <w:pPr>
        <w:jc w:val="center"/>
        <w:rPr>
          <w:rFonts w:ascii="微软雅黑" w:hAnsi="微软雅黑" w:eastAsia="微软雅黑" w:cs="微软雅黑"/>
          <w:sz w:val="28"/>
          <w:szCs w:val="28"/>
        </w:rPr>
      </w:pPr>
      <w:r>
        <w:rPr>
          <w:rFonts w:hint="eastAsia" w:ascii="微软雅黑" w:hAnsi="微软雅黑" w:eastAsia="微软雅黑" w:cs="微软雅黑"/>
          <w:sz w:val="28"/>
          <w:szCs w:val="28"/>
        </w:rPr>
        <w:t>2019年7月10-12日</w:t>
      </w:r>
    </w:p>
    <w:p>
      <w:pPr>
        <w:jc w:val="center"/>
        <w:rPr>
          <w:rFonts w:ascii="微软雅黑" w:hAnsi="微软雅黑" w:eastAsia="微软雅黑" w:cs="微软雅黑"/>
          <w:sz w:val="28"/>
          <w:szCs w:val="28"/>
        </w:rPr>
      </w:pPr>
      <w:r>
        <w:rPr>
          <w:rFonts w:hint="eastAsia" w:ascii="微软雅黑" w:hAnsi="微软雅黑" w:eastAsia="微软雅黑" w:cs="微软雅黑"/>
          <w:color w:val="212121"/>
          <w:sz w:val="24"/>
          <w:shd w:val="clear" w:color="auto" w:fill="FFFFFF"/>
        </w:rPr>
        <w:t>浙江·杭州</w:t>
      </w:r>
    </w:p>
    <w:p>
      <w:pPr>
        <w:jc w:val="center"/>
        <w:rPr>
          <w:rFonts w:ascii="微软雅黑" w:hAnsi="微软雅黑" w:eastAsia="微软雅黑" w:cs="微软雅黑"/>
          <w:b/>
          <w:bCs/>
          <w:color w:val="FF0000"/>
          <w:sz w:val="24"/>
        </w:rPr>
      </w:pPr>
      <w:r>
        <w:rPr>
          <w:rFonts w:hint="eastAsia" w:ascii="微软雅黑" w:hAnsi="微软雅黑" w:eastAsia="微软雅黑" w:cs="微软雅黑"/>
          <w:b/>
          <w:bCs/>
          <w:color w:val="FF0000"/>
          <w:sz w:val="24"/>
        </w:rPr>
        <w:t>指导单位</w:t>
      </w:r>
    </w:p>
    <w:p>
      <w:pPr>
        <w:spacing w:line="360" w:lineRule="auto"/>
        <w:jc w:val="center"/>
        <w:rPr>
          <w:rFonts w:ascii="微软雅黑" w:hAnsi="微软雅黑" w:eastAsia="微软雅黑" w:cs="微软雅黑"/>
          <w:sz w:val="24"/>
        </w:rPr>
      </w:pPr>
      <w:r>
        <w:rPr>
          <w:rFonts w:hint="eastAsia" w:ascii="微软雅黑" w:hAnsi="微软雅黑" w:eastAsia="微软雅黑" w:cs="微软雅黑"/>
          <w:sz w:val="24"/>
        </w:rPr>
        <w:t>中国化学与物理电源行业协会</w:t>
      </w:r>
    </w:p>
    <w:p>
      <w:pPr>
        <w:spacing w:line="360" w:lineRule="auto"/>
        <w:jc w:val="center"/>
        <w:rPr>
          <w:rFonts w:ascii="微软雅黑" w:hAnsi="微软雅黑" w:eastAsia="微软雅黑" w:cs="微软雅黑"/>
          <w:b/>
          <w:bCs/>
          <w:color w:val="FF0000"/>
          <w:sz w:val="24"/>
        </w:rPr>
      </w:pPr>
      <w:r>
        <w:rPr>
          <w:rFonts w:hint="eastAsia" w:ascii="微软雅黑" w:hAnsi="微软雅黑" w:eastAsia="微软雅黑" w:cs="微软雅黑"/>
          <w:b/>
          <w:bCs/>
          <w:color w:val="FF0000"/>
          <w:sz w:val="24"/>
        </w:rPr>
        <w:t>主办单位</w:t>
      </w:r>
    </w:p>
    <w:p>
      <w:pPr>
        <w:jc w:val="center"/>
        <w:rPr>
          <w:rFonts w:ascii="微软雅黑" w:hAnsi="微软雅黑" w:eastAsia="微软雅黑" w:cs="微软雅黑"/>
          <w:sz w:val="24"/>
        </w:rPr>
      </w:pPr>
      <w:r>
        <w:rPr>
          <w:rFonts w:hint="eastAsia" w:ascii="微软雅黑" w:hAnsi="微软雅黑" w:eastAsia="微软雅黑" w:cs="微软雅黑"/>
          <w:sz w:val="24"/>
        </w:rPr>
        <w:t>鑫椤资讯</w:t>
      </w:r>
    </w:p>
    <w:p>
      <w:pPr>
        <w:rPr>
          <w:rFonts w:ascii="微软雅黑" w:hAnsi="微软雅黑" w:eastAsia="微软雅黑" w:cs="微软雅黑"/>
          <w:szCs w:val="21"/>
        </w:rPr>
      </w:pPr>
    </w:p>
    <w:p>
      <w:pPr>
        <w:rPr>
          <w:rFonts w:ascii="微软雅黑" w:hAnsi="微软雅黑" w:eastAsia="微软雅黑" w:cs="微软雅黑"/>
          <w:b/>
          <w:bCs/>
          <w:color w:val="C00000"/>
          <w:sz w:val="24"/>
        </w:rPr>
      </w:pPr>
      <w:r>
        <w:rPr>
          <w:rFonts w:hint="eastAsia" w:ascii="微软雅黑" w:hAnsi="微软雅黑" w:eastAsia="微软雅黑" w:cs="微软雅黑"/>
          <w:b/>
          <w:bCs/>
          <w:color w:val="C00000"/>
          <w:sz w:val="24"/>
        </w:rPr>
        <w:t>会议背景</w:t>
      </w:r>
    </w:p>
    <w:p>
      <w:pPr>
        <w:widowControl/>
        <w:rPr>
          <w:rFonts w:ascii="微软雅黑" w:hAnsi="微软雅黑" w:eastAsia="微软雅黑" w:cs="微软雅黑"/>
          <w:szCs w:val="21"/>
        </w:rPr>
      </w:pPr>
      <w:r>
        <w:rPr>
          <w:rFonts w:hint="eastAsia" w:ascii="微软雅黑" w:hAnsi="微软雅黑" w:eastAsia="微软雅黑" w:cs="微软雅黑"/>
          <w:szCs w:val="21"/>
        </w:rPr>
        <w:t>2018年7月，我们在江苏镇江召开了</w:t>
      </w:r>
      <w:r>
        <w:rPr>
          <w:rFonts w:hint="eastAsia" w:ascii="微软雅黑" w:hAnsi="微软雅黑" w:eastAsia="微软雅黑" w:cs="微软雅黑"/>
          <w:b/>
          <w:bCs/>
          <w:szCs w:val="21"/>
        </w:rPr>
        <w:t>《2018高能量密度正负极材料产业化研讨会暨第六届锂电及关键原材料采配会》</w:t>
      </w:r>
      <w:r>
        <w:rPr>
          <w:rFonts w:hint="eastAsia" w:ascii="微软雅黑" w:hAnsi="微软雅黑" w:eastAsia="微软雅黑" w:cs="微软雅黑"/>
          <w:szCs w:val="21"/>
        </w:rPr>
        <w:t>，吸引了来自全国各地的锂电池、正负极材料、上下游原材料、高校教授、行业研究员等500多位代表参加。会议的主要议题围绕着高镍三元材料、硅基负极材料等新型正负极材料在量产过程中的困难进行研讨，反响较为热烈。</w:t>
      </w:r>
    </w:p>
    <w:p>
      <w:pPr>
        <w:widowControl/>
        <w:rPr>
          <w:rFonts w:ascii="微软雅黑" w:hAnsi="微软雅黑" w:eastAsia="微软雅黑" w:cs="微软雅黑"/>
          <w:szCs w:val="21"/>
        </w:rPr>
      </w:pPr>
    </w:p>
    <w:p>
      <w:pPr>
        <w:widowControl/>
        <w:rPr>
          <w:rFonts w:ascii="微软雅黑" w:hAnsi="微软雅黑" w:eastAsia="微软雅黑" w:cs="微软雅黑"/>
          <w:color w:val="FF0000"/>
          <w:szCs w:val="21"/>
        </w:rPr>
      </w:pPr>
      <w:r>
        <w:rPr>
          <w:rFonts w:hint="eastAsia" w:ascii="微软雅黑" w:hAnsi="微软雅黑" w:eastAsia="微软雅黑" w:cs="微软雅黑"/>
          <w:szCs w:val="21"/>
        </w:rPr>
        <w:t>来到2019年，高能量密度正负极材料的研究步伐仍然没有停歇， 不过市场关注的焦点又有了新的变化。随着补贴政策的进一步滑坡甚至完全退出，新能源车也逐渐从政策导向转为市场导向，电池的性价比越来越受到厂家重视，磷酸铁锂电池也开始回到车厂的视野当中。而三元材料方面，随着镍含量提升，由此带来的正极材料的稳定性问题、电解液匹配问题、大电流充电温升过高等引发的电池失效也让越发让人关注，在此情况下，2018年下半年以来单晶三元材料获得快速的发展，它不仅增强了正极材料的稳定性，也将整个体系的电压提升到了一个新的高度，不失为一个更为稳妥的解决方案；</w:t>
      </w:r>
      <w:r>
        <w:rPr>
          <w:rFonts w:hint="eastAsia" w:ascii="微软雅黑" w:hAnsi="微软雅黑" w:eastAsia="微软雅黑" w:cs="微软雅黑"/>
          <w:color w:val="FF0000"/>
          <w:szCs w:val="21"/>
        </w:rPr>
        <w:t>截止到2019年2月份，单晶三元材料的单月产量已经突破6000吨，同比增长达到300%，令人侧目。</w:t>
      </w:r>
    </w:p>
    <w:p>
      <w:pPr>
        <w:widowControl/>
        <w:rPr>
          <w:rFonts w:ascii="微软雅黑" w:hAnsi="微软雅黑" w:eastAsia="微软雅黑" w:cs="微软雅黑"/>
          <w:color w:val="FF0000"/>
          <w:szCs w:val="21"/>
        </w:rPr>
      </w:pPr>
    </w:p>
    <w:p>
      <w:pPr>
        <w:widowControl/>
        <w:autoSpaceDE w:val="0"/>
        <w:autoSpaceDN w:val="0"/>
        <w:adjustRightInd w:val="0"/>
        <w:jc w:val="left"/>
        <w:rPr>
          <w:rFonts w:ascii="微软雅黑" w:hAnsi="微软雅黑" w:eastAsia="微软雅黑" w:cs="微软雅黑"/>
          <w:szCs w:val="21"/>
        </w:rPr>
      </w:pPr>
      <w:r>
        <w:rPr>
          <w:rFonts w:hint="eastAsia" w:ascii="微软雅黑" w:hAnsi="微软雅黑" w:eastAsia="微软雅黑" w:cs="微软雅黑"/>
          <w:szCs w:val="21"/>
        </w:rPr>
        <w:t>锂电负极材料方面关注的焦点则仍然是如何降本增效，短期来看市场供给仍然紧张，但国产新增产能的释放进度备受大家关注；同时，2019年以来负极石墨化、针状焦的价格开始理性回归，原材料的下跌也进一步推动负极材料降价预期。硅基负极的发展进程是行业内最大热点，也是未来5-10年内锂电负极市场上能否走的更远的根基。隔膜方面，自去年下半年以来价格大跌，隔膜企业的竞争压力越来越大，更多的企业倾向于将高端产品往外资企业送样，获取更高利润；电解液的研发一直跟随市场变化，为适应不同的电池产品，新型添加剂的研究始终是企业最为关注的重点。</w:t>
      </w:r>
    </w:p>
    <w:p>
      <w:pPr>
        <w:widowControl/>
        <w:autoSpaceDE w:val="0"/>
        <w:autoSpaceDN w:val="0"/>
        <w:adjustRightInd w:val="0"/>
        <w:jc w:val="left"/>
        <w:rPr>
          <w:rFonts w:ascii="微软雅黑" w:hAnsi="微软雅黑" w:eastAsia="微软雅黑" w:cs="微软雅黑"/>
          <w:szCs w:val="21"/>
        </w:rPr>
      </w:pPr>
    </w:p>
    <w:p>
      <w:pPr>
        <w:widowControl/>
        <w:rPr>
          <w:rFonts w:ascii="微软雅黑" w:hAnsi="微软雅黑" w:eastAsia="微软雅黑" w:cs="微软雅黑"/>
          <w:szCs w:val="21"/>
        </w:rPr>
      </w:pPr>
      <w:r>
        <w:rPr>
          <w:rFonts w:hint="eastAsia" w:ascii="微软雅黑" w:hAnsi="微软雅黑" w:eastAsia="微软雅黑" w:cs="微软雅黑"/>
          <w:szCs w:val="21"/>
        </w:rPr>
        <w:t>在此背景下，可以发现2019年的锂电材料市场格局有了全新的变化，也产生了全新的机遇，如何将产品的先进技术与市场的实际需求进行再平衡，是每一个企业都会面临到的问题。同时，燃料电池、固态电池等新型电源已经处于产业化的前夜，作为锂电池的主要竞品，从业人员也很有必要了解这些新产品的前沿市场动态。因此，我们决定于</w:t>
      </w:r>
      <w:r>
        <w:rPr>
          <w:rFonts w:hint="eastAsia" w:ascii="微软雅黑" w:hAnsi="微软雅黑" w:eastAsia="微软雅黑" w:cs="微软雅黑"/>
          <w:color w:val="FF0000"/>
          <w:szCs w:val="21"/>
        </w:rPr>
        <w:t>7月10-12日</w:t>
      </w:r>
      <w:r>
        <w:rPr>
          <w:rFonts w:hint="eastAsia" w:ascii="微软雅黑" w:hAnsi="微软雅黑" w:eastAsia="微软雅黑" w:cs="微软雅黑"/>
          <w:szCs w:val="21"/>
        </w:rPr>
        <w:t>召开</w:t>
      </w:r>
      <w:r>
        <w:rPr>
          <w:rFonts w:hint="eastAsia" w:ascii="微软雅黑" w:hAnsi="微软雅黑" w:eastAsia="微软雅黑" w:cs="微软雅黑"/>
          <w:b/>
          <w:bCs/>
          <w:szCs w:val="21"/>
        </w:rPr>
        <w:t>《锂电材料与新型电源前瞻应用研讨会暨第七届锂电及关键原材料采配会》</w:t>
      </w:r>
      <w:r>
        <w:rPr>
          <w:rFonts w:hint="eastAsia" w:ascii="微软雅黑" w:hAnsi="微软雅黑" w:eastAsia="微软雅黑" w:cs="微软雅黑"/>
          <w:szCs w:val="21"/>
        </w:rPr>
        <w:t>，会议将着重探讨在补贴退坡背景下，锂电池及原材料企业如何在新的需求下提供符合市场逻辑的产品，帮助企业做出更为前瞻性的决策。</w:t>
      </w:r>
    </w:p>
    <w:p>
      <w:pPr>
        <w:rPr>
          <w:rFonts w:ascii="微软雅黑" w:hAnsi="微软雅黑" w:eastAsia="微软雅黑" w:cs="微软雅黑"/>
          <w:szCs w:val="21"/>
        </w:rPr>
      </w:pPr>
      <w:r>
        <w:rPr>
          <w:rFonts w:hint="eastAsia" w:ascii="微软雅黑" w:hAnsi="微软雅黑" w:eastAsia="微软雅黑" w:cs="微软雅黑"/>
          <w:szCs w:val="21"/>
        </w:rPr>
        <w:drawing>
          <wp:inline distT="0" distB="0" distL="114300" distR="114300">
            <wp:extent cx="5220335" cy="1438275"/>
            <wp:effectExtent l="0" t="0" r="18415" b="9525"/>
            <wp:docPr id="1" name="图片 1" descr="主会场全景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会场全景3"/>
                    <pic:cNvPicPr>
                      <a:picLocks noChangeAspect="1"/>
                    </pic:cNvPicPr>
                  </pic:nvPicPr>
                  <pic:blipFill>
                    <a:blip r:embed="rId4"/>
                    <a:stretch>
                      <a:fillRect/>
                    </a:stretch>
                  </pic:blipFill>
                  <pic:spPr>
                    <a:xfrm>
                      <a:off x="0" y="0"/>
                      <a:ext cx="5220335" cy="1438275"/>
                    </a:xfrm>
                    <a:prstGeom prst="rect">
                      <a:avLst/>
                    </a:prstGeom>
                  </pic:spPr>
                </pic:pic>
              </a:graphicData>
            </a:graphic>
          </wp:inline>
        </w:drawing>
      </w:r>
    </w:p>
    <w:p>
      <w:pPr>
        <w:rPr>
          <w:rFonts w:ascii="微软雅黑" w:hAnsi="微软雅黑" w:eastAsia="微软雅黑" w:cs="微软雅黑"/>
          <w:b/>
          <w:sz w:val="24"/>
        </w:rPr>
      </w:pPr>
      <w:r>
        <w:rPr>
          <w:rFonts w:hint="eastAsia" w:ascii="微软雅黑" w:hAnsi="微软雅黑" w:eastAsia="微软雅黑" w:cs="微软雅黑"/>
          <w:b/>
          <w:sz w:val="24"/>
        </w:rPr>
        <w:t>中国化学与物理电源行业协会介绍：</w:t>
      </w:r>
    </w:p>
    <w:p>
      <w:pPr>
        <w:autoSpaceDE w:val="0"/>
        <w:autoSpaceDN w:val="0"/>
        <w:adjustRightInd w:val="0"/>
        <w:jc w:val="left"/>
        <w:rPr>
          <w:rFonts w:ascii="微软雅黑" w:hAnsi="微软雅黑" w:eastAsia="微软雅黑" w:cs="微软雅黑"/>
          <w:szCs w:val="21"/>
        </w:rPr>
      </w:pPr>
      <w:r>
        <w:rPr>
          <w:rFonts w:hint="eastAsia" w:ascii="微软雅黑" w:hAnsi="微软雅黑" w:eastAsia="微软雅黑" w:cs="微软雅黑"/>
          <w:szCs w:val="21"/>
        </w:rPr>
        <w:t>中国化学与物理电源行业协会(China Industrial Association of Power Sources，缩写CIAPS) 是由电池行业企（事）业单位资源组成的全国性、行业性、非营利性的社会组织，主管部门为工业和信息化部。协会成立于1989年12月，现有460多家会员单位，下设碱性蓄电池与新型化学电源分会、酸性蓄电池分会、锂电池分会、太阳能光伏分会、干电池工作委员会、电源配件分会、移动电源分会、储能应用分会、电池设备分会、动力电池分会等十个分支机构。</w:t>
      </w:r>
    </w:p>
    <w:p>
      <w:pPr>
        <w:rPr>
          <w:rFonts w:ascii="微软雅黑" w:hAnsi="微软雅黑" w:eastAsia="微软雅黑" w:cs="微软雅黑"/>
          <w:szCs w:val="21"/>
        </w:rPr>
      </w:pPr>
      <w:r>
        <w:rPr>
          <w:rFonts w:hint="eastAsia" w:ascii="微软雅黑" w:hAnsi="微软雅黑" w:eastAsia="微软雅黑" w:cs="微软雅黑"/>
          <w:b/>
          <w:szCs w:val="21"/>
        </w:rPr>
        <w:t>会议时间：</w:t>
      </w:r>
      <w:r>
        <w:rPr>
          <w:rFonts w:hint="eastAsia" w:ascii="微软雅黑" w:hAnsi="微软雅黑" w:eastAsia="微软雅黑" w:cs="微软雅黑"/>
          <w:szCs w:val="21"/>
        </w:rPr>
        <w:t>7月10-</w:t>
      </w:r>
      <w:r>
        <w:rPr>
          <w:rFonts w:ascii="微软雅黑" w:hAnsi="微软雅黑" w:eastAsia="微软雅黑" w:cs="微软雅黑"/>
          <w:szCs w:val="21"/>
        </w:rPr>
        <w:t>12</w:t>
      </w:r>
      <w:r>
        <w:rPr>
          <w:rFonts w:hint="eastAsia" w:ascii="微软雅黑" w:hAnsi="微软雅黑" w:eastAsia="微软雅黑" w:cs="微软雅黑"/>
          <w:szCs w:val="21"/>
        </w:rPr>
        <w:t>日（10日全天报到）</w:t>
      </w:r>
    </w:p>
    <w:p>
      <w:pPr>
        <w:rPr>
          <w:rFonts w:ascii="微软雅黑" w:hAnsi="微软雅黑" w:eastAsia="微软雅黑" w:cs="微软雅黑"/>
          <w:szCs w:val="21"/>
        </w:rPr>
      </w:pPr>
      <w:r>
        <w:rPr>
          <w:rFonts w:hint="eastAsia" w:ascii="微软雅黑" w:hAnsi="微软雅黑" w:eastAsia="微软雅黑" w:cs="微软雅黑"/>
          <w:b/>
          <w:szCs w:val="21"/>
        </w:rPr>
        <w:t>会议地址：</w:t>
      </w:r>
      <w:r>
        <w:rPr>
          <w:rFonts w:hint="eastAsia" w:ascii="微软雅黑" w:hAnsi="微软雅黑" w:eastAsia="微软雅黑" w:cs="微软雅黑"/>
          <w:szCs w:val="21"/>
        </w:rPr>
        <w:t>浙江·杭州</w:t>
      </w:r>
    </w:p>
    <w:p>
      <w:pPr>
        <w:rPr>
          <w:rFonts w:ascii="微软雅黑" w:hAnsi="微软雅黑" w:eastAsia="微软雅黑" w:cs="微软雅黑"/>
          <w:szCs w:val="21"/>
        </w:rPr>
      </w:pPr>
      <w:r>
        <w:rPr>
          <w:rFonts w:hint="eastAsia" w:ascii="微软雅黑" w:hAnsi="微软雅黑" w:eastAsia="微软雅黑" w:cs="微软雅黑"/>
          <w:b/>
          <w:szCs w:val="21"/>
        </w:rPr>
        <w:t>会议酒店：</w:t>
      </w:r>
      <w:r>
        <w:rPr>
          <w:rFonts w:hint="eastAsia" w:ascii="微软雅黑" w:hAnsi="微软雅黑" w:eastAsia="微软雅黑" w:cs="微软雅黑"/>
          <w:szCs w:val="21"/>
        </w:rPr>
        <w:t>润和建国酒店</w:t>
      </w:r>
    </w:p>
    <w:p>
      <w:pPr>
        <w:rPr>
          <w:rFonts w:ascii="微软雅黑" w:hAnsi="微软雅黑" w:eastAsia="微软雅黑" w:cs="微软雅黑"/>
          <w:szCs w:val="21"/>
        </w:rPr>
      </w:pPr>
    </w:p>
    <w:p>
      <w:pPr>
        <w:rPr>
          <w:rFonts w:ascii="微软雅黑" w:hAnsi="微软雅黑" w:eastAsia="微软雅黑" w:cs="微软雅黑"/>
          <w:b/>
          <w:bCs/>
          <w:color w:val="C00000"/>
          <w:sz w:val="24"/>
        </w:rPr>
      </w:pPr>
      <w:r>
        <w:rPr>
          <w:rFonts w:hint="eastAsia" w:ascii="微软雅黑" w:hAnsi="微软雅黑" w:eastAsia="微软雅黑" w:cs="微软雅黑"/>
          <w:b/>
          <w:bCs/>
          <w:color w:val="C00000"/>
          <w:sz w:val="24"/>
        </w:rPr>
        <w:t>会议日程</w:t>
      </w:r>
    </w:p>
    <w:tbl>
      <w:tblPr>
        <w:tblStyle w:val="3"/>
        <w:tblW w:w="8500" w:type="dxa"/>
        <w:tblInd w:w="118" w:type="dxa"/>
        <w:tblLayout w:type="fixed"/>
        <w:tblCellMar>
          <w:top w:w="0" w:type="dxa"/>
          <w:left w:w="108" w:type="dxa"/>
          <w:bottom w:w="0" w:type="dxa"/>
          <w:right w:w="108" w:type="dxa"/>
        </w:tblCellMar>
      </w:tblPr>
      <w:tblGrid>
        <w:gridCol w:w="1760"/>
        <w:gridCol w:w="6740"/>
      </w:tblGrid>
      <w:tr>
        <w:tblPrEx>
          <w:tblLayout w:type="fixed"/>
          <w:tblCellMar>
            <w:top w:w="0" w:type="dxa"/>
            <w:left w:w="108" w:type="dxa"/>
            <w:bottom w:w="0" w:type="dxa"/>
            <w:right w:w="108" w:type="dxa"/>
          </w:tblCellMar>
        </w:tblPrEx>
        <w:trPr>
          <w:trHeight w:val="300" w:hRule="atLeast"/>
        </w:trPr>
        <w:tc>
          <w:tcPr>
            <w:tcW w:w="8500" w:type="dxa"/>
            <w:gridSpan w:val="2"/>
            <w:tcBorders>
              <w:top w:val="single" w:color="4F81BD" w:sz="8" w:space="0"/>
              <w:left w:val="single" w:color="4F81BD" w:sz="8" w:space="0"/>
              <w:bottom w:val="single" w:color="FFFFFF" w:sz="8" w:space="0"/>
              <w:right w:val="single" w:color="4F81BD" w:sz="8" w:space="0"/>
            </w:tcBorders>
            <w:shd w:val="clear" w:color="000000" w:fill="4F81BD"/>
            <w:vAlign w:val="center"/>
          </w:tcPr>
          <w:p>
            <w:pPr>
              <w:widowControl/>
              <w:jc w:val="center"/>
              <w:rPr>
                <w:rFonts w:ascii="微软雅黑" w:hAnsi="微软雅黑" w:eastAsia="微软雅黑" w:cs="微软雅黑"/>
                <w:b/>
                <w:bCs/>
                <w:color w:val="FFFFFF"/>
                <w:kern w:val="0"/>
                <w:szCs w:val="21"/>
              </w:rPr>
            </w:pPr>
            <w:r>
              <w:rPr>
                <w:rFonts w:hint="eastAsia" w:ascii="微软雅黑" w:hAnsi="微软雅黑" w:eastAsia="微软雅黑" w:cs="微软雅黑"/>
                <w:b/>
                <w:bCs/>
                <w:color w:val="FFFFFF"/>
                <w:kern w:val="0"/>
                <w:szCs w:val="21"/>
              </w:rPr>
              <w:t>会议日程</w:t>
            </w:r>
          </w:p>
        </w:tc>
      </w:tr>
      <w:tr>
        <w:tblPrEx>
          <w:tblLayout w:type="fixed"/>
          <w:tblCellMar>
            <w:top w:w="0" w:type="dxa"/>
            <w:left w:w="108" w:type="dxa"/>
            <w:bottom w:w="0" w:type="dxa"/>
            <w:right w:w="108" w:type="dxa"/>
          </w:tblCellMar>
        </w:tblPrEx>
        <w:trPr>
          <w:trHeight w:val="300" w:hRule="atLeast"/>
        </w:trPr>
        <w:tc>
          <w:tcPr>
            <w:tcW w:w="8500" w:type="dxa"/>
            <w:gridSpan w:val="2"/>
            <w:tcBorders>
              <w:top w:val="single" w:color="FFFFFF"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7月10日</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09:00-21:00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嘉宾报到</w:t>
            </w:r>
          </w:p>
        </w:tc>
      </w:tr>
      <w:tr>
        <w:tblPrEx>
          <w:tblLayout w:type="fixed"/>
          <w:tblCellMar>
            <w:top w:w="0" w:type="dxa"/>
            <w:left w:w="108" w:type="dxa"/>
            <w:bottom w:w="0" w:type="dxa"/>
            <w:right w:w="108" w:type="dxa"/>
          </w:tblCellMar>
        </w:tblPrEx>
        <w:trPr>
          <w:trHeight w:val="300" w:hRule="atLeast"/>
        </w:trPr>
        <w:tc>
          <w:tcPr>
            <w:tcW w:w="8500" w:type="dxa"/>
            <w:gridSpan w:val="2"/>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7月11日</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09:00-09:10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大会开幕，致欢迎辞</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09:10-09:50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中国动力锂离子电池产业发展现状</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09:50-10:20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整车厂对不同体系动力电池的思考与选择</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10:20-10:50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全球储能市场供需格局与前景</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10:50-11:10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茶歇</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11:10-11:40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新能源车补贴政策的现状与未来影响分析</w:t>
            </w:r>
          </w:p>
        </w:tc>
      </w:tr>
      <w:tr>
        <w:tblPrEx>
          <w:tblLayout w:type="fixed"/>
          <w:tblCellMar>
            <w:top w:w="0" w:type="dxa"/>
            <w:left w:w="108" w:type="dxa"/>
            <w:bottom w:w="0" w:type="dxa"/>
            <w:right w:w="108" w:type="dxa"/>
          </w:tblCellMar>
        </w:tblPrEx>
        <w:trPr>
          <w:trHeight w:val="36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11:40-12:00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2019年上半年锂电池主要材料产量情况及未来预测</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12:00-14:00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午餐</w:t>
            </w:r>
          </w:p>
        </w:tc>
      </w:tr>
      <w:tr>
        <w:tblPrEx>
          <w:tblLayout w:type="fixed"/>
          <w:tblCellMar>
            <w:top w:w="0" w:type="dxa"/>
            <w:left w:w="108" w:type="dxa"/>
            <w:bottom w:w="0" w:type="dxa"/>
            <w:right w:w="108" w:type="dxa"/>
          </w:tblCellMar>
        </w:tblPrEx>
        <w:trPr>
          <w:trHeight w:val="42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14:00-14:30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后补贴时代正极材料的选择与优化</w:t>
            </w:r>
          </w:p>
        </w:tc>
      </w:tr>
      <w:tr>
        <w:tblPrEx>
          <w:tblLayout w:type="fixed"/>
          <w:tblCellMar>
            <w:top w:w="0" w:type="dxa"/>
            <w:left w:w="108" w:type="dxa"/>
            <w:bottom w:w="0" w:type="dxa"/>
            <w:right w:w="108" w:type="dxa"/>
          </w:tblCellMar>
        </w:tblPrEx>
        <w:trPr>
          <w:trHeight w:val="420" w:hRule="atLeast"/>
        </w:trPr>
        <w:tc>
          <w:tcPr>
            <w:tcW w:w="1760" w:type="dxa"/>
            <w:vMerge w:val="restart"/>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14:30-15:20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正极材料产业链探讨</w:t>
            </w:r>
          </w:p>
        </w:tc>
      </w:tr>
      <w:tr>
        <w:tblPrEx>
          <w:tblLayout w:type="fixed"/>
          <w:tblCellMar>
            <w:top w:w="0" w:type="dxa"/>
            <w:left w:w="108" w:type="dxa"/>
            <w:bottom w:w="0" w:type="dxa"/>
            <w:right w:w="108" w:type="dxa"/>
          </w:tblCellMar>
        </w:tblPrEx>
        <w:trPr>
          <w:trHeight w:val="2025" w:hRule="atLeast"/>
        </w:trPr>
        <w:tc>
          <w:tcPr>
            <w:tcW w:w="1760"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p>
        </w:tc>
        <w:tc>
          <w:tcPr>
            <w:tcW w:w="6740" w:type="dxa"/>
            <w:tcBorders>
              <w:top w:val="single" w:color="4F81BD" w:sz="8" w:space="0"/>
              <w:left w:val="single" w:color="4F81BD" w:sz="8" w:space="0"/>
              <w:bottom w:val="single" w:color="4F81BD" w:sz="8" w:space="0"/>
              <w:right w:val="single" w:color="4F81BD" w:sz="8" w:space="0"/>
            </w:tcBorders>
            <w:shd w:val="clear" w:color="000000"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·全球镍产业链供需格局</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·钴价的中长期判断</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·盐湖提锂与矿石提锂的供应现状</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·单晶三元材料的生产与成本控制</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·磷酸铁锂在储能、自行车领域的大规模应用前景</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·锰酸锂材料在电动自行车等领域的开发与应用</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·四大正极材料未来走势判断</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15:20-15:50</w:t>
            </w:r>
          </w:p>
        </w:tc>
        <w:tc>
          <w:tcPr>
            <w:tcW w:w="6740" w:type="dxa"/>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硅基负极材料技术现状及市场化趋势</w:t>
            </w:r>
          </w:p>
        </w:tc>
      </w:tr>
      <w:tr>
        <w:tblPrEx>
          <w:tblLayout w:type="fixed"/>
          <w:tblCellMar>
            <w:top w:w="0" w:type="dxa"/>
            <w:left w:w="108" w:type="dxa"/>
            <w:bottom w:w="0" w:type="dxa"/>
            <w:right w:w="108" w:type="dxa"/>
          </w:tblCellMar>
        </w:tblPrEx>
        <w:trPr>
          <w:trHeight w:val="300" w:hRule="atLeast"/>
        </w:trPr>
        <w:tc>
          <w:tcPr>
            <w:tcW w:w="1760" w:type="dxa"/>
            <w:vMerge w:val="restart"/>
            <w:tcBorders>
              <w:top w:val="single" w:color="4F81BD" w:sz="8" w:space="0"/>
              <w:left w:val="single" w:color="4F81BD" w:sz="8" w:space="0"/>
              <w:bottom w:val="single" w:color="4F81BD" w:sz="8" w:space="0"/>
              <w:right w:val="single" w:color="4F81BD" w:sz="8" w:space="0"/>
            </w:tcBorders>
            <w:shd w:val="clear" w:color="000000"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15:50-16:20</w:t>
            </w:r>
          </w:p>
        </w:tc>
        <w:tc>
          <w:tcPr>
            <w:tcW w:w="6740" w:type="dxa"/>
            <w:tcBorders>
              <w:top w:val="single" w:color="4F81BD" w:sz="8" w:space="0"/>
              <w:left w:val="single" w:color="4F81BD" w:sz="8" w:space="0"/>
              <w:bottom w:val="single" w:color="4F81BD" w:sz="8" w:space="0"/>
              <w:right w:val="single" w:color="4F81BD" w:sz="8" w:space="0"/>
            </w:tcBorders>
            <w:shd w:val="clear" w:color="000000" w:fill="FFFFFF"/>
            <w:vAlign w:val="center"/>
          </w:tcPr>
          <w:p>
            <w:pPr>
              <w:widowControl/>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负极材料产业链探讨</w:t>
            </w:r>
          </w:p>
        </w:tc>
      </w:tr>
      <w:tr>
        <w:tblPrEx>
          <w:tblLayout w:type="fixed"/>
          <w:tblCellMar>
            <w:top w:w="0" w:type="dxa"/>
            <w:left w:w="108" w:type="dxa"/>
            <w:bottom w:w="0" w:type="dxa"/>
            <w:right w:w="108" w:type="dxa"/>
          </w:tblCellMar>
        </w:tblPrEx>
        <w:trPr>
          <w:trHeight w:val="1740" w:hRule="atLeast"/>
        </w:trPr>
        <w:tc>
          <w:tcPr>
            <w:tcW w:w="1760"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pPr>
              <w:widowControl/>
              <w:jc w:val="left"/>
              <w:rPr>
                <w:rFonts w:ascii="微软雅黑" w:hAnsi="微软雅黑" w:eastAsia="微软雅黑" w:cs="微软雅黑"/>
                <w:color w:val="000000"/>
                <w:kern w:val="0"/>
                <w:szCs w:val="21"/>
              </w:rPr>
            </w:pP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·2019年全球针状焦市场供应格局</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·负极石墨化市场供应趋势</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·硅基负极市场化推进进展</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·硅基负极技术难点突破</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·未来3年人造和天然负极市场格局</w:t>
            </w:r>
            <w:r>
              <w:rPr>
                <w:rFonts w:hint="eastAsia" w:ascii="微软雅黑" w:hAnsi="微软雅黑" w:eastAsia="微软雅黑" w:cs="微软雅黑"/>
                <w:color w:val="000000"/>
                <w:kern w:val="0"/>
                <w:szCs w:val="21"/>
              </w:rPr>
              <w:br w:type="textWrapping"/>
            </w:r>
            <w:r>
              <w:rPr>
                <w:rFonts w:hint="eastAsia" w:ascii="微软雅黑" w:hAnsi="微软雅黑" w:eastAsia="微软雅黑" w:cs="微软雅黑"/>
                <w:color w:val="000000"/>
                <w:kern w:val="0"/>
                <w:szCs w:val="21"/>
              </w:rPr>
              <w:t>·钛酸锂负极应用前景</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16:20-16:40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茶歇</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16:40-17:10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国产隔膜的发展现状和海外布局趋势</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17:10-17:40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电解液新型添加剂的开发与应用</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17:40-18:00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粘结剂、导电剂锂电辅料的选取与应用</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19:00-20:30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晚宴</w:t>
            </w:r>
          </w:p>
        </w:tc>
      </w:tr>
      <w:tr>
        <w:tblPrEx>
          <w:tblLayout w:type="fixed"/>
          <w:tblCellMar>
            <w:top w:w="0" w:type="dxa"/>
            <w:left w:w="108" w:type="dxa"/>
            <w:bottom w:w="0" w:type="dxa"/>
            <w:right w:w="108" w:type="dxa"/>
          </w:tblCellMar>
        </w:tblPrEx>
        <w:trPr>
          <w:trHeight w:val="300" w:hRule="atLeast"/>
        </w:trPr>
        <w:tc>
          <w:tcPr>
            <w:tcW w:w="8500" w:type="dxa"/>
            <w:gridSpan w:val="2"/>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7月12日</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09:00-09:30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政策推动下燃料电池前瞻应用展望</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09:30-10:00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炭石墨材料在燃料电池中的应用现状及未来</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10:00-10:30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全固态锂离子电池技术进展及现状</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10:30-10:50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茶歇</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10:50-11:20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石墨烯产业化应用现状及在锂电领域应用成果</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11:20-12:00</w:t>
            </w:r>
          </w:p>
        </w:tc>
        <w:tc>
          <w:tcPr>
            <w:tcW w:w="6740" w:type="dxa"/>
            <w:tcBorders>
              <w:top w:val="single" w:color="4F81BD" w:sz="8" w:space="0"/>
              <w:left w:val="single" w:color="4F81BD" w:sz="8" w:space="0"/>
              <w:bottom w:val="single" w:color="4F81BD" w:sz="8" w:space="0"/>
              <w:right w:val="single" w:color="4F81BD" w:sz="8" w:space="0"/>
            </w:tcBorders>
            <w:shd w:val="clear" w:color="000000" w:fill="B8CCE4"/>
            <w:vAlign w:val="center"/>
          </w:tcPr>
          <w:p>
            <w:pPr>
              <w:widowControl/>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新型电源自由讨论</w:t>
            </w:r>
          </w:p>
        </w:tc>
      </w:tr>
      <w:tr>
        <w:tblPrEx>
          <w:tblLayout w:type="fixed"/>
          <w:tblCellMar>
            <w:top w:w="0" w:type="dxa"/>
            <w:left w:w="108" w:type="dxa"/>
            <w:bottom w:w="0" w:type="dxa"/>
            <w:right w:w="108" w:type="dxa"/>
          </w:tblCellMar>
        </w:tblPrEx>
        <w:trPr>
          <w:trHeight w:val="300" w:hRule="atLeast"/>
        </w:trPr>
        <w:tc>
          <w:tcPr>
            <w:tcW w:w="17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12:00-14:00</w:t>
            </w:r>
          </w:p>
        </w:tc>
        <w:tc>
          <w:tcPr>
            <w:tcW w:w="6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午餐</w:t>
            </w:r>
          </w:p>
        </w:tc>
      </w:tr>
    </w:tbl>
    <w:p>
      <w:pPr>
        <w:rPr>
          <w:rFonts w:ascii="微软雅黑" w:hAnsi="微软雅黑" w:eastAsia="微软雅黑" w:cs="微软雅黑"/>
          <w:b/>
          <w:bCs/>
          <w:color w:val="C00000"/>
          <w:sz w:val="24"/>
        </w:rPr>
      </w:pPr>
      <w:r>
        <w:rPr>
          <w:rFonts w:hint="eastAsia" w:ascii="微软雅黑" w:hAnsi="微软雅黑" w:eastAsia="微软雅黑" w:cs="微软雅黑"/>
          <w:b/>
          <w:bCs/>
          <w:color w:val="C00000"/>
          <w:sz w:val="24"/>
        </w:rPr>
        <w:t>参会费用</w:t>
      </w:r>
    </w:p>
    <w:p>
      <w:pPr>
        <w:numPr>
          <w:ilvl w:val="0"/>
          <w:numId w:val="1"/>
        </w:numPr>
        <w:rPr>
          <w:rFonts w:ascii="微软雅黑" w:hAnsi="微软雅黑" w:eastAsia="微软雅黑" w:cs="微软雅黑"/>
          <w:color w:val="0070C0"/>
          <w:szCs w:val="21"/>
        </w:rPr>
      </w:pPr>
      <w:r>
        <w:rPr>
          <w:rFonts w:hint="eastAsia" w:ascii="微软雅黑" w:hAnsi="微软雅黑" w:eastAsia="微软雅黑" w:cs="微软雅黑"/>
          <w:color w:val="0070C0"/>
          <w:szCs w:val="21"/>
        </w:rPr>
        <w:t>6月28日前付款：2800元/位</w:t>
      </w:r>
    </w:p>
    <w:p>
      <w:pPr>
        <w:numPr>
          <w:ilvl w:val="0"/>
          <w:numId w:val="1"/>
        </w:numPr>
        <w:rPr>
          <w:rFonts w:ascii="微软雅黑" w:hAnsi="微软雅黑" w:eastAsia="微软雅黑" w:cs="微软雅黑"/>
          <w:szCs w:val="21"/>
        </w:rPr>
      </w:pPr>
      <w:r>
        <w:rPr>
          <w:rFonts w:hint="eastAsia" w:ascii="微软雅黑" w:hAnsi="微软雅黑" w:eastAsia="微软雅黑" w:cs="微软雅黑"/>
          <w:szCs w:val="21"/>
        </w:rPr>
        <w:t>现场付款：3200元/位</w:t>
      </w:r>
    </w:p>
    <w:p>
      <w:pPr>
        <w:numPr>
          <w:ilvl w:val="0"/>
          <w:numId w:val="1"/>
        </w:numPr>
        <w:rPr>
          <w:rFonts w:ascii="微软雅黑" w:hAnsi="微软雅黑" w:eastAsia="微软雅黑" w:cs="微软雅黑"/>
          <w:szCs w:val="21"/>
        </w:rPr>
      </w:pPr>
      <w:r>
        <w:rPr>
          <w:rFonts w:hint="eastAsia" w:ascii="微软雅黑" w:hAnsi="微软雅黑" w:eastAsia="微软雅黑" w:cs="微软雅黑"/>
          <w:szCs w:val="21"/>
        </w:rPr>
        <w:t>参会费用包含1人参会名额、会议期间餐饮、茶歇及会刊资料。</w:t>
      </w:r>
    </w:p>
    <w:p>
      <w:pPr>
        <w:rPr>
          <w:rFonts w:ascii="微软雅黑" w:hAnsi="微软雅黑" w:eastAsia="微软雅黑" w:cs="微软雅黑"/>
          <w:color w:val="FF0000"/>
          <w:szCs w:val="21"/>
        </w:rPr>
      </w:pPr>
      <w:r>
        <w:rPr>
          <w:rFonts w:hint="eastAsia" w:ascii="微软雅黑" w:hAnsi="微软雅黑" w:eastAsia="微软雅黑" w:cs="微软雅黑"/>
          <w:color w:val="FF0000"/>
          <w:szCs w:val="21"/>
        </w:rPr>
        <w:t>备注：报到时请携带身份证签到并领取资料和参会证，会议及活动期间凭参会证进场，请务必随身携带。</w:t>
      </w:r>
    </w:p>
    <w:p>
      <w:pPr>
        <w:rPr>
          <w:rFonts w:ascii="微软雅黑" w:hAnsi="微软雅黑" w:eastAsia="微软雅黑" w:cs="微软雅黑"/>
          <w:szCs w:val="21"/>
        </w:rPr>
      </w:pPr>
    </w:p>
    <w:p>
      <w:pPr>
        <w:rPr>
          <w:rFonts w:ascii="微软雅黑" w:hAnsi="微软雅黑" w:eastAsia="微软雅黑" w:cs="微软雅黑"/>
          <w:b/>
          <w:bCs/>
          <w:color w:val="C00000"/>
          <w:sz w:val="24"/>
        </w:rPr>
      </w:pPr>
      <w:r>
        <w:rPr>
          <w:rFonts w:hint="eastAsia" w:ascii="微软雅黑" w:hAnsi="微软雅黑" w:eastAsia="微软雅黑" w:cs="微软雅黑"/>
          <w:b/>
          <w:bCs/>
          <w:color w:val="C00000"/>
          <w:sz w:val="24"/>
        </w:rPr>
        <w:t>报名咨询</w:t>
      </w:r>
    </w:p>
    <w:p>
      <w:pPr>
        <w:rPr>
          <w:rFonts w:ascii="微软雅黑" w:hAnsi="微软雅黑" w:eastAsia="微软雅黑" w:cs="微软雅黑"/>
          <w:szCs w:val="21"/>
        </w:rPr>
      </w:pPr>
      <w:r>
        <w:rPr>
          <w:rFonts w:hint="eastAsia" w:ascii="微软雅黑" w:hAnsi="微软雅黑" w:eastAsia="微软雅黑" w:cs="微软雅黑"/>
          <w:szCs w:val="21"/>
        </w:rPr>
        <w:t>电话：021-50184981</w:t>
      </w:r>
    </w:p>
    <w:p>
      <w:pPr>
        <w:rPr>
          <w:rFonts w:ascii="微软雅黑" w:hAnsi="微软雅黑" w:eastAsia="微软雅黑" w:cs="微软雅黑"/>
          <w:szCs w:val="21"/>
        </w:rPr>
      </w:pPr>
      <w:r>
        <w:rPr>
          <w:rFonts w:hint="eastAsia" w:ascii="微软雅黑" w:hAnsi="微软雅黑" w:eastAsia="微软雅黑" w:cs="微软雅黑"/>
          <w:szCs w:val="21"/>
        </w:rPr>
        <w:t>手机、微信：18918035256</w:t>
      </w:r>
    </w:p>
    <w:p>
      <w:pPr>
        <w:rPr>
          <w:rStyle w:val="6"/>
          <w:rFonts w:ascii="微软雅黑" w:hAnsi="微软雅黑" w:eastAsia="微软雅黑" w:cs="微软雅黑"/>
          <w:szCs w:val="21"/>
        </w:rPr>
      </w:pPr>
      <w:r>
        <w:rPr>
          <w:rFonts w:hint="eastAsia" w:ascii="微软雅黑" w:hAnsi="微软雅黑" w:eastAsia="微软雅黑" w:cs="微软雅黑"/>
          <w:szCs w:val="21"/>
        </w:rPr>
        <w:t>邮箱：</w:t>
      </w:r>
      <w:r>
        <w:fldChar w:fldCharType="begin"/>
      </w:r>
      <w:r>
        <w:instrText xml:space="preserve"> HYPERLINK "mailto:service@iccsino.com" </w:instrText>
      </w:r>
      <w:r>
        <w:fldChar w:fldCharType="separate"/>
      </w:r>
      <w:r>
        <w:rPr>
          <w:rStyle w:val="6"/>
          <w:rFonts w:hint="eastAsia" w:ascii="微软雅黑" w:hAnsi="微软雅黑" w:eastAsia="微软雅黑" w:cs="微软雅黑"/>
          <w:szCs w:val="21"/>
        </w:rPr>
        <w:t>service@iccsino.com</w:t>
      </w:r>
      <w:r>
        <w:rPr>
          <w:rStyle w:val="6"/>
          <w:rFonts w:hint="eastAsia" w:ascii="微软雅黑" w:hAnsi="微软雅黑" w:eastAsia="微软雅黑" w:cs="微软雅黑"/>
          <w:szCs w:val="21"/>
        </w:rPr>
        <w:fldChar w:fldCharType="end"/>
      </w:r>
    </w:p>
    <w:p>
      <w:pPr>
        <w:jc w:val="left"/>
        <w:rPr>
          <w:rFonts w:ascii="微软雅黑" w:hAnsi="微软雅黑" w:eastAsia="微软雅黑" w:cs="微软雅黑"/>
          <w:b/>
          <w:bCs/>
          <w:color w:val="C00000"/>
          <w:sz w:val="24"/>
        </w:rPr>
      </w:pPr>
      <w:r>
        <w:rPr>
          <w:rFonts w:hint="eastAsia" w:ascii="微软雅黑" w:hAnsi="微软雅黑" w:eastAsia="微软雅黑" w:cs="微软雅黑"/>
          <w:b/>
          <w:bCs/>
          <w:color w:val="C00000"/>
          <w:sz w:val="24"/>
        </w:rPr>
        <w:t>会议赞助</w:t>
      </w:r>
    </w:p>
    <w:tbl>
      <w:tblPr>
        <w:tblStyle w:val="3"/>
        <w:tblW w:w="7785" w:type="dxa"/>
        <w:tblInd w:w="0" w:type="dxa"/>
        <w:tblLayout w:type="fixed"/>
        <w:tblCellMar>
          <w:top w:w="0" w:type="dxa"/>
          <w:left w:w="0" w:type="dxa"/>
          <w:bottom w:w="0" w:type="dxa"/>
          <w:right w:w="0" w:type="dxa"/>
        </w:tblCellMar>
      </w:tblPr>
      <w:tblGrid>
        <w:gridCol w:w="2070"/>
        <w:gridCol w:w="4416"/>
        <w:gridCol w:w="1299"/>
      </w:tblGrid>
      <w:tr>
        <w:tblPrEx>
          <w:tblLayout w:type="fixed"/>
          <w:tblCellMar>
            <w:top w:w="0" w:type="dxa"/>
            <w:left w:w="0" w:type="dxa"/>
            <w:bottom w:w="0" w:type="dxa"/>
            <w:right w:w="0" w:type="dxa"/>
          </w:tblCellMar>
        </w:tblPrEx>
        <w:trPr>
          <w:trHeight w:val="459" w:hRule="atLeast"/>
        </w:trPr>
        <w:tc>
          <w:tcPr>
            <w:tcW w:w="2070" w:type="dxa"/>
            <w:tcBorders>
              <w:top w:val="single" w:color="4F81BD" w:sz="8" w:space="0"/>
              <w:left w:val="single" w:color="4F81BD" w:sz="8" w:space="0"/>
              <w:bottom w:val="nil"/>
              <w:right w:val="single" w:color="4F81BD" w:sz="8" w:space="0"/>
            </w:tcBorders>
            <w:shd w:val="clear" w:color="auto" w:fill="4F81BD"/>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FFFFFF"/>
                <w:sz w:val="21"/>
                <w:szCs w:val="21"/>
              </w:rPr>
            </w:pPr>
            <w:r>
              <w:rPr>
                <w:rStyle w:val="5"/>
                <w:rFonts w:hint="eastAsia" w:ascii="微软雅黑" w:hAnsi="微软雅黑" w:eastAsia="微软雅黑" w:cs="微软雅黑"/>
                <w:color w:val="FFFFFF"/>
                <w:sz w:val="21"/>
                <w:szCs w:val="21"/>
              </w:rPr>
              <w:t>赞助项目</w:t>
            </w:r>
          </w:p>
        </w:tc>
        <w:tc>
          <w:tcPr>
            <w:tcW w:w="4416" w:type="dxa"/>
            <w:tcBorders>
              <w:top w:val="single" w:color="4F81BD" w:sz="8" w:space="0"/>
              <w:left w:val="single" w:color="4F81BD" w:sz="8" w:space="0"/>
              <w:bottom w:val="nil"/>
              <w:right w:val="single" w:color="4F81BD" w:sz="8" w:space="0"/>
            </w:tcBorders>
            <w:shd w:val="clear" w:color="auto" w:fill="4F81BD"/>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FFFFFF"/>
                <w:sz w:val="21"/>
                <w:szCs w:val="21"/>
              </w:rPr>
            </w:pPr>
            <w:r>
              <w:rPr>
                <w:rStyle w:val="5"/>
                <w:rFonts w:hint="eastAsia" w:ascii="微软雅黑" w:hAnsi="微软雅黑" w:eastAsia="微软雅黑" w:cs="微软雅黑"/>
                <w:color w:val="FFFFFF"/>
                <w:sz w:val="21"/>
                <w:szCs w:val="21"/>
              </w:rPr>
              <w:t>服务项目</w:t>
            </w:r>
          </w:p>
        </w:tc>
        <w:tc>
          <w:tcPr>
            <w:tcW w:w="1299" w:type="dxa"/>
            <w:tcBorders>
              <w:top w:val="single" w:color="4F81BD" w:sz="8" w:space="0"/>
              <w:left w:val="single" w:color="4F81BD" w:sz="8" w:space="0"/>
              <w:bottom w:val="nil"/>
              <w:right w:val="single" w:color="4F81BD" w:sz="8" w:space="0"/>
            </w:tcBorders>
            <w:shd w:val="clear" w:color="auto" w:fill="4F81BD"/>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FFFFFF"/>
                <w:sz w:val="21"/>
                <w:szCs w:val="21"/>
              </w:rPr>
            </w:pPr>
            <w:r>
              <w:rPr>
                <w:rStyle w:val="5"/>
                <w:rFonts w:hint="eastAsia" w:ascii="微软雅黑" w:hAnsi="微软雅黑" w:eastAsia="微软雅黑" w:cs="微软雅黑"/>
                <w:color w:val="FFFFFF"/>
                <w:sz w:val="21"/>
                <w:szCs w:val="21"/>
              </w:rPr>
              <w:t>价格</w:t>
            </w:r>
          </w:p>
        </w:tc>
      </w:tr>
      <w:tr>
        <w:tblPrEx>
          <w:tblLayout w:type="fixed"/>
          <w:tblCellMar>
            <w:top w:w="0" w:type="dxa"/>
            <w:left w:w="0" w:type="dxa"/>
            <w:bottom w:w="0" w:type="dxa"/>
            <w:right w:w="0" w:type="dxa"/>
          </w:tblCellMar>
        </w:tblPrEx>
        <w:trPr>
          <w:trHeight w:val="2045" w:hRule="atLeast"/>
        </w:trPr>
        <w:tc>
          <w:tcPr>
            <w:tcW w:w="2070" w:type="dxa"/>
            <w:tcBorders>
              <w:top w:val="nil"/>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会议独家冠名</w:t>
            </w:r>
          </w:p>
        </w:tc>
        <w:tc>
          <w:tcPr>
            <w:tcW w:w="4416" w:type="dxa"/>
            <w:tcBorders>
              <w:top w:val="nil"/>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numPr>
                <w:ilvl w:val="0"/>
                <w:numId w:val="2"/>
              </w:numPr>
              <w:wordWrap w:val="0"/>
              <w:spacing w:beforeAutospacing="0" w:afterAutospacing="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会议协办冠名，在会议对外宣传中提升企业知名度</w:t>
            </w:r>
          </w:p>
          <w:p>
            <w:pPr>
              <w:pStyle w:val="2"/>
              <w:widowControl/>
              <w:numPr>
                <w:ilvl w:val="0"/>
                <w:numId w:val="2"/>
              </w:numPr>
              <w:wordWrap w:val="0"/>
              <w:spacing w:beforeAutospacing="0" w:afterAutospacing="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会议酒店大门处行架宣传4*3米（暂定）</w:t>
            </w:r>
          </w:p>
          <w:p>
            <w:pPr>
              <w:pStyle w:val="2"/>
              <w:widowControl/>
              <w:numPr>
                <w:ilvl w:val="0"/>
                <w:numId w:val="2"/>
              </w:numPr>
              <w:wordWrap w:val="0"/>
              <w:spacing w:beforeAutospacing="0" w:afterAutospacing="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会议报道台冠名5*3米（暂定）</w:t>
            </w:r>
          </w:p>
          <w:p>
            <w:pPr>
              <w:pStyle w:val="2"/>
              <w:widowControl/>
              <w:numPr>
                <w:ilvl w:val="0"/>
                <w:numId w:val="2"/>
              </w:numPr>
              <w:wordWrap w:val="0"/>
              <w:spacing w:beforeAutospacing="0" w:afterAutospacing="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会场展位宣传2*2.5米</w:t>
            </w:r>
          </w:p>
          <w:p>
            <w:pPr>
              <w:pStyle w:val="2"/>
              <w:widowControl/>
              <w:numPr>
                <w:ilvl w:val="0"/>
                <w:numId w:val="2"/>
              </w:numPr>
              <w:wordWrap w:val="0"/>
              <w:spacing w:beforeAutospacing="0" w:afterAutospacing="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会议开场欢迎辞</w:t>
            </w:r>
          </w:p>
          <w:p>
            <w:pPr>
              <w:pStyle w:val="2"/>
              <w:widowControl/>
              <w:numPr>
                <w:ilvl w:val="0"/>
                <w:numId w:val="2"/>
              </w:numPr>
              <w:wordWrap w:val="0"/>
              <w:spacing w:beforeAutospacing="0" w:afterAutospacing="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宣传物料品牌露出</w:t>
            </w:r>
          </w:p>
          <w:p>
            <w:pPr>
              <w:pStyle w:val="2"/>
              <w:widowControl/>
              <w:numPr>
                <w:ilvl w:val="0"/>
                <w:numId w:val="2"/>
              </w:numPr>
              <w:wordWrap w:val="0"/>
              <w:spacing w:beforeAutospacing="0" w:afterAutospacing="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参会名额</w:t>
            </w:r>
            <w:r>
              <w:rPr>
                <w:rFonts w:ascii="微软雅黑" w:hAnsi="微软雅黑" w:eastAsia="微软雅黑" w:cs="微软雅黑"/>
                <w:color w:val="000000"/>
                <w:sz w:val="18"/>
                <w:szCs w:val="18"/>
              </w:rPr>
              <w:t>*5</w:t>
            </w:r>
          </w:p>
        </w:tc>
        <w:tc>
          <w:tcPr>
            <w:tcW w:w="1299" w:type="dxa"/>
            <w:tcBorders>
              <w:top w:val="nil"/>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8万元</w:t>
            </w:r>
          </w:p>
        </w:tc>
      </w:tr>
      <w:tr>
        <w:tblPrEx>
          <w:tblLayout w:type="fixed"/>
          <w:tblCellMar>
            <w:top w:w="0" w:type="dxa"/>
            <w:left w:w="0" w:type="dxa"/>
            <w:bottom w:w="0" w:type="dxa"/>
            <w:right w:w="0" w:type="dxa"/>
          </w:tblCellMar>
        </w:tblPrEx>
        <w:trPr>
          <w:trHeight w:val="135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晚宴赞助</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1、晚宴开场祝酒辞</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2、晚宴大屏幕宣传10*6米（暂定）</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3、会场展位宣传2*2.5米</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4、参会名额*2</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5、宣传物料品牌露出</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sz w:val="18"/>
                <w:szCs w:val="18"/>
              </w:rPr>
              <w:t>5</w:t>
            </w:r>
            <w:r>
              <w:rPr>
                <w:rFonts w:hint="eastAsia" w:ascii="微软雅黑" w:hAnsi="微软雅黑" w:eastAsia="微软雅黑" w:cs="微软雅黑"/>
                <w:color w:val="000000"/>
                <w:sz w:val="18"/>
                <w:szCs w:val="18"/>
              </w:rPr>
              <w:t>万元</w:t>
            </w:r>
          </w:p>
        </w:tc>
      </w:tr>
      <w:tr>
        <w:tblPrEx>
          <w:tblLayout w:type="fixed"/>
          <w:tblCellMar>
            <w:top w:w="0" w:type="dxa"/>
            <w:left w:w="0" w:type="dxa"/>
            <w:bottom w:w="0" w:type="dxa"/>
            <w:right w:w="0" w:type="dxa"/>
          </w:tblCellMar>
        </w:tblPrEx>
        <w:trPr>
          <w:trHeight w:val="81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晚宴用酒赞助</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wordWrap w:val="0"/>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1、晚宴开场主持人口播</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2、晚宴大屏幕宣传10*6米（暂定）</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3、宣传物料品牌露出</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2万元</w:t>
            </w:r>
          </w:p>
        </w:tc>
      </w:tr>
      <w:tr>
        <w:tblPrEx>
          <w:tblLayout w:type="fixed"/>
          <w:tblCellMar>
            <w:top w:w="0" w:type="dxa"/>
            <w:left w:w="0" w:type="dxa"/>
            <w:bottom w:w="0" w:type="dxa"/>
            <w:right w:w="0" w:type="dxa"/>
          </w:tblCellMar>
        </w:tblPrEx>
        <w:trPr>
          <w:trHeight w:val="108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礼品赞助</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1、会议礼品赞助商</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2、现场颁发礼品</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3、会场展位宣传2*2.5米</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4、宣传物料品牌露出</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5万元</w:t>
            </w:r>
          </w:p>
        </w:tc>
      </w:tr>
      <w:tr>
        <w:tblPrEx>
          <w:tblLayout w:type="fixed"/>
          <w:tblCellMar>
            <w:top w:w="0" w:type="dxa"/>
            <w:left w:w="0" w:type="dxa"/>
            <w:bottom w:w="0" w:type="dxa"/>
            <w:right w:w="0" w:type="dxa"/>
          </w:tblCellMar>
        </w:tblPrEx>
        <w:trPr>
          <w:trHeight w:val="135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茶歇赞助</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wordWrap w:val="0"/>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1、4米*2.5米喷绘背景板一个</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2、茶歇处放置企业名称</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3、参会名额*2</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4、宣传物料品牌露出</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3万元</w:t>
            </w:r>
          </w:p>
        </w:tc>
      </w:tr>
      <w:tr>
        <w:tblPrEx>
          <w:tblLayout w:type="fixed"/>
          <w:tblCellMar>
            <w:top w:w="0" w:type="dxa"/>
            <w:left w:w="0" w:type="dxa"/>
            <w:bottom w:w="0" w:type="dxa"/>
            <w:right w:w="0" w:type="dxa"/>
          </w:tblCellMar>
        </w:tblPrEx>
        <w:trPr>
          <w:trHeight w:val="81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资料袋宣传</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1、资料袋印刷广告（单面）</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2、参会名额*2</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3万元</w:t>
            </w:r>
          </w:p>
        </w:tc>
      </w:tr>
      <w:tr>
        <w:tblPrEx>
          <w:tblLayout w:type="fixed"/>
          <w:tblCellMar>
            <w:top w:w="0" w:type="dxa"/>
            <w:left w:w="0" w:type="dxa"/>
            <w:bottom w:w="0" w:type="dxa"/>
            <w:right w:w="0" w:type="dxa"/>
          </w:tblCellMar>
        </w:tblPrEx>
        <w:trPr>
          <w:trHeight w:val="81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椅背广告宣传</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1、会场椅背广告宣传</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2、参会名额*2</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3、宣传物料品牌露出</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2.5万元</w:t>
            </w:r>
          </w:p>
        </w:tc>
      </w:tr>
      <w:tr>
        <w:tblPrEx>
          <w:tblLayout w:type="fixed"/>
          <w:tblCellMar>
            <w:top w:w="0" w:type="dxa"/>
            <w:left w:w="0" w:type="dxa"/>
            <w:bottom w:w="0" w:type="dxa"/>
            <w:right w:w="0" w:type="dxa"/>
          </w:tblCellMar>
        </w:tblPrEx>
        <w:trPr>
          <w:trHeight w:val="415"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矿泉水贴标宣传</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1、会议期间定制矿泉水贴标宣传</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2、参会名额*2</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3、宣传物料品牌露出</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2万元</w:t>
            </w:r>
          </w:p>
        </w:tc>
      </w:tr>
      <w:tr>
        <w:tblPrEx>
          <w:tblLayout w:type="fixed"/>
          <w:tblCellMar>
            <w:top w:w="0" w:type="dxa"/>
            <w:left w:w="0" w:type="dxa"/>
            <w:bottom w:w="0" w:type="dxa"/>
            <w:right w:w="0" w:type="dxa"/>
          </w:tblCellMar>
        </w:tblPrEx>
        <w:trPr>
          <w:trHeight w:val="81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挂绳赞助</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1、挂绳印刷广告</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2、参会名额*2</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1万元</w:t>
            </w:r>
          </w:p>
        </w:tc>
      </w:tr>
      <w:tr>
        <w:tblPrEx>
          <w:tblLayout w:type="fixed"/>
          <w:tblCellMar>
            <w:top w:w="0" w:type="dxa"/>
            <w:left w:w="0" w:type="dxa"/>
            <w:bottom w:w="0" w:type="dxa"/>
            <w:right w:w="0" w:type="dxa"/>
          </w:tblCellMar>
        </w:tblPrEx>
        <w:trPr>
          <w:trHeight w:val="81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胸牌赞助</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1、参会代表证胸牌广告</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2、参会名额*2</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3、宣传物料品牌露出</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1.5万元</w:t>
            </w:r>
          </w:p>
        </w:tc>
      </w:tr>
      <w:tr>
        <w:tblPrEx>
          <w:tblLayout w:type="fixed"/>
          <w:tblCellMar>
            <w:top w:w="0" w:type="dxa"/>
            <w:left w:w="0" w:type="dxa"/>
            <w:bottom w:w="0" w:type="dxa"/>
            <w:right w:w="0" w:type="dxa"/>
          </w:tblCellMar>
        </w:tblPrEx>
        <w:trPr>
          <w:trHeight w:val="285"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会刊彩页</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会刊宣传彩页*1P</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0.4万元</w:t>
            </w:r>
          </w:p>
        </w:tc>
      </w:tr>
      <w:tr>
        <w:tblPrEx>
          <w:tblLayout w:type="fixed"/>
          <w:tblCellMar>
            <w:top w:w="0" w:type="dxa"/>
            <w:left w:w="0" w:type="dxa"/>
            <w:bottom w:w="0" w:type="dxa"/>
            <w:right w:w="0" w:type="dxa"/>
          </w:tblCellMar>
        </w:tblPrEx>
        <w:trPr>
          <w:trHeight w:val="27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跨页</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会刊宣传彩页*2P（跨页）</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0.7万元</w:t>
            </w:r>
          </w:p>
        </w:tc>
      </w:tr>
      <w:tr>
        <w:tblPrEx>
          <w:tblLayout w:type="fixed"/>
          <w:tblCellMar>
            <w:top w:w="0" w:type="dxa"/>
            <w:left w:w="0" w:type="dxa"/>
            <w:bottom w:w="0" w:type="dxa"/>
            <w:right w:w="0" w:type="dxa"/>
          </w:tblCellMar>
        </w:tblPrEx>
        <w:trPr>
          <w:trHeight w:val="285"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会刊封面/封底</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会刊封面/封底*1P</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1.5/1万元</w:t>
            </w:r>
          </w:p>
        </w:tc>
      </w:tr>
      <w:tr>
        <w:tblPrEx>
          <w:tblLayout w:type="fixed"/>
          <w:tblCellMar>
            <w:top w:w="0" w:type="dxa"/>
            <w:left w:w="0" w:type="dxa"/>
            <w:bottom w:w="0" w:type="dxa"/>
            <w:right w:w="0" w:type="dxa"/>
          </w:tblCellMar>
        </w:tblPrEx>
        <w:trPr>
          <w:trHeight w:val="36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会场赞助</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1、会场内演讲屏幕两侧展板</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已售</w:t>
            </w:r>
            <w:bookmarkStart w:id="0" w:name="_GoBack"/>
            <w:bookmarkEnd w:id="0"/>
          </w:p>
        </w:tc>
      </w:tr>
      <w:tr>
        <w:tblPrEx>
          <w:tblLayout w:type="fixed"/>
          <w:tblCellMar>
            <w:top w:w="0" w:type="dxa"/>
            <w:left w:w="0" w:type="dxa"/>
            <w:bottom w:w="0" w:type="dxa"/>
            <w:right w:w="0" w:type="dxa"/>
          </w:tblCellMar>
        </w:tblPrEx>
        <w:trPr>
          <w:trHeight w:val="1620" w:hRule="atLeast"/>
        </w:trPr>
        <w:tc>
          <w:tcPr>
            <w:tcW w:w="207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Style w:val="5"/>
                <w:rFonts w:hint="eastAsia" w:ascii="微软雅黑" w:hAnsi="微软雅黑" w:eastAsia="微软雅黑" w:cs="微软雅黑"/>
                <w:color w:val="000000"/>
                <w:sz w:val="18"/>
                <w:szCs w:val="18"/>
              </w:rPr>
              <w:t>展位宣传</w:t>
            </w:r>
          </w:p>
        </w:tc>
        <w:tc>
          <w:tcPr>
            <w:tcW w:w="4416"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ind w:left="210" w:leftChars="100"/>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1、展位*1 </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2、2米*2.5米喷绘背景板一个</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3、1.2米*0.5米展桌一个（配2把椅子）</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4、参会名额*2</w:t>
            </w:r>
            <w:r>
              <w:rPr>
                <w:rFonts w:hint="eastAsia" w:ascii="微软雅黑" w:hAnsi="微软雅黑" w:eastAsia="微软雅黑" w:cs="微软雅黑"/>
                <w:color w:val="000000"/>
                <w:sz w:val="18"/>
                <w:szCs w:val="18"/>
              </w:rPr>
              <w:br w:type="textWrapping"/>
            </w:r>
            <w:r>
              <w:rPr>
                <w:rFonts w:hint="eastAsia" w:ascii="微软雅黑" w:hAnsi="微软雅黑" w:eastAsia="微软雅黑" w:cs="微软雅黑"/>
                <w:color w:val="000000"/>
                <w:sz w:val="18"/>
                <w:szCs w:val="18"/>
              </w:rPr>
              <w:t>5、展板尺寸位置可能根据现场实际情况有所调整</w:t>
            </w:r>
          </w:p>
        </w:tc>
        <w:tc>
          <w:tcPr>
            <w:tcW w:w="1299"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15" w:type="dxa"/>
              <w:right w:w="15" w:type="dxa"/>
            </w:tcMar>
            <w:vAlign w:val="center"/>
          </w:tcPr>
          <w:p>
            <w:pPr>
              <w:pStyle w:val="2"/>
              <w:widowControl/>
              <w:spacing w:beforeAutospacing="0" w:afterAutospacing="0"/>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1.5万元</w:t>
            </w:r>
          </w:p>
        </w:tc>
      </w:tr>
    </w:tbl>
    <w:p>
      <w:pPr>
        <w:rPr>
          <w:rFonts w:ascii="微软雅黑" w:hAnsi="微软雅黑" w:eastAsia="微软雅黑" w:cs="微软雅黑"/>
          <w:szCs w:val="21"/>
        </w:rPr>
      </w:pPr>
    </w:p>
    <w:p>
      <w:pPr>
        <w:jc w:val="center"/>
        <w:rPr>
          <w:rFonts w:ascii="微软雅黑" w:hAnsi="微软雅黑" w:eastAsia="微软雅黑" w:cs="微软雅黑"/>
          <w:szCs w:val="21"/>
        </w:rPr>
      </w:pPr>
      <w:r>
        <w:rPr>
          <w:rFonts w:hint="eastAsia" w:ascii="微软雅黑" w:hAnsi="微软雅黑" w:eastAsia="微软雅黑" w:cs="微软雅黑"/>
          <w:szCs w:val="21"/>
        </w:rPr>
        <w:drawing>
          <wp:inline distT="0" distB="0" distL="114300" distR="114300">
            <wp:extent cx="4495800" cy="6124575"/>
            <wp:effectExtent l="0" t="0" r="0" b="9525"/>
            <wp:docPr id="8" name="图片 8" descr="initpintu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nitpintu_副本"/>
                    <pic:cNvPicPr>
                      <a:picLocks noChangeAspect="1"/>
                    </pic:cNvPicPr>
                  </pic:nvPicPr>
                  <pic:blipFill>
                    <a:blip r:embed="rId5"/>
                    <a:stretch>
                      <a:fillRect/>
                    </a:stretch>
                  </pic:blipFill>
                  <pic:spPr>
                    <a:xfrm>
                      <a:off x="0" y="0"/>
                      <a:ext cx="4495800" cy="61245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25CE2"/>
    <w:multiLevelType w:val="singleLevel"/>
    <w:tmpl w:val="1EB25CE2"/>
    <w:lvl w:ilvl="0" w:tentative="0">
      <w:start w:val="1"/>
      <w:numFmt w:val="bullet"/>
      <w:lvlText w:val=""/>
      <w:lvlJc w:val="left"/>
      <w:pPr>
        <w:ind w:left="420" w:hanging="420"/>
      </w:pPr>
      <w:rPr>
        <w:rFonts w:hint="default" w:ascii="Wingdings" w:hAnsi="Wingdings"/>
      </w:rPr>
    </w:lvl>
  </w:abstractNum>
  <w:abstractNum w:abstractNumId="1">
    <w:nsid w:val="29CE6CB1"/>
    <w:multiLevelType w:val="multilevel"/>
    <w:tmpl w:val="29CE6CB1"/>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57"/>
    <w:rsid w:val="00004E6F"/>
    <w:rsid w:val="00057E8D"/>
    <w:rsid w:val="00071545"/>
    <w:rsid w:val="00134DE3"/>
    <w:rsid w:val="001B69D5"/>
    <w:rsid w:val="002F0DE8"/>
    <w:rsid w:val="00352F9A"/>
    <w:rsid w:val="00412700"/>
    <w:rsid w:val="00461934"/>
    <w:rsid w:val="00464C33"/>
    <w:rsid w:val="0048717E"/>
    <w:rsid w:val="004A6BF1"/>
    <w:rsid w:val="00567814"/>
    <w:rsid w:val="00586235"/>
    <w:rsid w:val="005931EB"/>
    <w:rsid w:val="00594757"/>
    <w:rsid w:val="00611F34"/>
    <w:rsid w:val="00626B85"/>
    <w:rsid w:val="0064030A"/>
    <w:rsid w:val="00643AB7"/>
    <w:rsid w:val="0067695A"/>
    <w:rsid w:val="0068221C"/>
    <w:rsid w:val="007359DA"/>
    <w:rsid w:val="007B6B52"/>
    <w:rsid w:val="00825BA9"/>
    <w:rsid w:val="00834333"/>
    <w:rsid w:val="00851B70"/>
    <w:rsid w:val="0087268A"/>
    <w:rsid w:val="008F41FA"/>
    <w:rsid w:val="00906010"/>
    <w:rsid w:val="00927D19"/>
    <w:rsid w:val="00941DF8"/>
    <w:rsid w:val="009E151C"/>
    <w:rsid w:val="009F0026"/>
    <w:rsid w:val="00A57171"/>
    <w:rsid w:val="00A647ED"/>
    <w:rsid w:val="00AB419D"/>
    <w:rsid w:val="00BA59B4"/>
    <w:rsid w:val="00BC0570"/>
    <w:rsid w:val="00C11F26"/>
    <w:rsid w:val="00C667E5"/>
    <w:rsid w:val="00C679BD"/>
    <w:rsid w:val="00CC643C"/>
    <w:rsid w:val="00CD3F28"/>
    <w:rsid w:val="00D010D4"/>
    <w:rsid w:val="00D73318"/>
    <w:rsid w:val="00D90191"/>
    <w:rsid w:val="00E5216B"/>
    <w:rsid w:val="00E663A3"/>
    <w:rsid w:val="00E93BF4"/>
    <w:rsid w:val="00EC7274"/>
    <w:rsid w:val="00EF10B4"/>
    <w:rsid w:val="00FD7414"/>
    <w:rsid w:val="03832363"/>
    <w:rsid w:val="08433AB0"/>
    <w:rsid w:val="0A8122B4"/>
    <w:rsid w:val="10B43C12"/>
    <w:rsid w:val="14404B00"/>
    <w:rsid w:val="1B322858"/>
    <w:rsid w:val="1DAB1114"/>
    <w:rsid w:val="5F2A6285"/>
    <w:rsid w:val="65E35C32"/>
    <w:rsid w:val="767F2E23"/>
    <w:rsid w:val="7C1A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QPGOS.COM</Company>
  <Pages>7</Pages>
  <Words>482</Words>
  <Characters>2754</Characters>
  <Lines>22</Lines>
  <Paragraphs>6</Paragraphs>
  <TotalTime>244</TotalTime>
  <ScaleCrop>false</ScaleCrop>
  <LinksUpToDate>false</LinksUpToDate>
  <CharactersWithSpaces>3230</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kasim</cp:lastModifiedBy>
  <dcterms:modified xsi:type="dcterms:W3CDTF">2019-04-23T09:20:41Z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